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BB761" w14:textId="7897CC70" w:rsidR="004F0CD6" w:rsidRPr="0020505D" w:rsidRDefault="004F0CD6" w:rsidP="00DC26D1">
      <w:pPr>
        <w:rPr>
          <w:sz w:val="24"/>
          <w:szCs w:val="24"/>
        </w:rPr>
      </w:pPr>
      <w:r w:rsidRPr="0020505D">
        <w:rPr>
          <w:b/>
          <w:bCs/>
          <w:sz w:val="24"/>
          <w:szCs w:val="24"/>
        </w:rPr>
        <w:t xml:space="preserve">1 John 2:12-17 (KJV) </w:t>
      </w:r>
      <w:r w:rsidRPr="0020505D">
        <w:rPr>
          <w:color w:val="000000"/>
          <w:sz w:val="24"/>
          <w:szCs w:val="24"/>
          <w:vertAlign w:val="superscript"/>
        </w:rPr>
        <w:t xml:space="preserve">12 </w:t>
      </w:r>
      <w:r w:rsidRPr="0020505D">
        <w:rPr>
          <w:sz w:val="24"/>
          <w:szCs w:val="24"/>
        </w:rPr>
        <w:t xml:space="preserve"> I write unto you, little children, because your sins are forgiven you for his name's sake. </w:t>
      </w:r>
      <w:r w:rsidRPr="0020505D">
        <w:rPr>
          <w:sz w:val="24"/>
          <w:szCs w:val="24"/>
        </w:rPr>
        <w:br/>
      </w:r>
      <w:r w:rsidRPr="0020505D">
        <w:rPr>
          <w:color w:val="000000"/>
          <w:sz w:val="24"/>
          <w:szCs w:val="24"/>
          <w:vertAlign w:val="superscript"/>
        </w:rPr>
        <w:t xml:space="preserve">13 </w:t>
      </w:r>
      <w:r w:rsidRPr="0020505D">
        <w:rPr>
          <w:sz w:val="24"/>
          <w:szCs w:val="24"/>
        </w:rPr>
        <w:t xml:space="preserve"> I write unto you, fathers, because ye have known him </w:t>
      </w:r>
      <w:r w:rsidRPr="0020505D">
        <w:rPr>
          <w:i/>
          <w:iCs/>
          <w:sz w:val="24"/>
          <w:szCs w:val="24"/>
        </w:rPr>
        <w:t>that is</w:t>
      </w:r>
      <w:r w:rsidRPr="0020505D">
        <w:rPr>
          <w:sz w:val="24"/>
          <w:szCs w:val="24"/>
        </w:rPr>
        <w:t xml:space="preserve"> from the beginning. I write unto you, young men, because ye have overcome the wicked one. I write unto you, little children, because ye have known the Father. </w:t>
      </w:r>
      <w:r w:rsidRPr="0020505D">
        <w:rPr>
          <w:sz w:val="24"/>
          <w:szCs w:val="24"/>
        </w:rPr>
        <w:br/>
      </w:r>
      <w:r w:rsidRPr="0020505D">
        <w:rPr>
          <w:color w:val="000000"/>
          <w:sz w:val="24"/>
          <w:szCs w:val="24"/>
          <w:vertAlign w:val="superscript"/>
        </w:rPr>
        <w:t xml:space="preserve">14 </w:t>
      </w:r>
      <w:r w:rsidRPr="0020505D">
        <w:rPr>
          <w:sz w:val="24"/>
          <w:szCs w:val="24"/>
        </w:rPr>
        <w:t xml:space="preserve"> I have written unto you, fathers, because ye have known him </w:t>
      </w:r>
      <w:r w:rsidRPr="0020505D">
        <w:rPr>
          <w:i/>
          <w:iCs/>
          <w:sz w:val="24"/>
          <w:szCs w:val="24"/>
        </w:rPr>
        <w:t>that is</w:t>
      </w:r>
      <w:r w:rsidRPr="0020505D">
        <w:rPr>
          <w:sz w:val="24"/>
          <w:szCs w:val="24"/>
        </w:rPr>
        <w:t xml:space="preserve"> from the beginning. I have written unto you, young men, because ye are strong, and the word of God abideth in you, and ye have overcome the wicked one. </w:t>
      </w:r>
      <w:r w:rsidRPr="0020505D">
        <w:rPr>
          <w:sz w:val="24"/>
          <w:szCs w:val="24"/>
        </w:rPr>
        <w:br/>
      </w:r>
      <w:r w:rsidRPr="0020505D">
        <w:rPr>
          <w:rFonts w:ascii="Times New Roman" w:hAnsi="Times New Roman" w:cs="Times New Roman"/>
          <w:color w:val="000000"/>
          <w:sz w:val="24"/>
          <w:szCs w:val="24"/>
        </w:rPr>
        <w:t>‎</w:t>
      </w:r>
    </w:p>
    <w:p w14:paraId="13C55A59" w14:textId="047E8B45" w:rsidR="00550804" w:rsidRPr="0020505D" w:rsidRDefault="004F0CD6" w:rsidP="00550804">
      <w:pPr>
        <w:pStyle w:val="ListParagraph"/>
        <w:numPr>
          <w:ilvl w:val="0"/>
          <w:numId w:val="1"/>
        </w:numPr>
        <w:rPr>
          <w:sz w:val="24"/>
          <w:szCs w:val="24"/>
        </w:rPr>
      </w:pPr>
      <w:r w:rsidRPr="0020505D">
        <w:rPr>
          <w:sz w:val="24"/>
          <w:szCs w:val="24"/>
        </w:rPr>
        <w:t>John encourages his readers to remember their victories and examine their spiritual growth.</w:t>
      </w:r>
    </w:p>
    <w:p w14:paraId="1527CBFC" w14:textId="35DCB554" w:rsidR="00AC3CDE" w:rsidRPr="0020505D" w:rsidRDefault="004F0CD6" w:rsidP="00AC3CDE">
      <w:pPr>
        <w:pStyle w:val="ListParagraph"/>
        <w:numPr>
          <w:ilvl w:val="1"/>
          <w:numId w:val="1"/>
        </w:numPr>
        <w:rPr>
          <w:sz w:val="24"/>
          <w:szCs w:val="24"/>
        </w:rPr>
      </w:pPr>
      <w:r w:rsidRPr="0020505D">
        <w:rPr>
          <w:sz w:val="24"/>
          <w:szCs w:val="24"/>
        </w:rPr>
        <w:t>The message is repeated almost word for word.</w:t>
      </w:r>
    </w:p>
    <w:p w14:paraId="21C07ECF" w14:textId="3DE9D0FD" w:rsidR="00866999" w:rsidRPr="0020505D" w:rsidRDefault="004F0CD6" w:rsidP="00AC3CDE">
      <w:pPr>
        <w:pStyle w:val="ListParagraph"/>
        <w:numPr>
          <w:ilvl w:val="2"/>
          <w:numId w:val="1"/>
        </w:numPr>
        <w:rPr>
          <w:sz w:val="24"/>
          <w:szCs w:val="24"/>
        </w:rPr>
      </w:pPr>
      <w:r w:rsidRPr="0020505D">
        <w:rPr>
          <w:sz w:val="24"/>
          <w:szCs w:val="24"/>
        </w:rPr>
        <w:t>In the first presentation, the word “write” is present tense</w:t>
      </w:r>
      <w:r w:rsidR="00A774F3">
        <w:rPr>
          <w:sz w:val="24"/>
          <w:szCs w:val="24"/>
        </w:rPr>
        <w:t>.</w:t>
      </w:r>
    </w:p>
    <w:p w14:paraId="32C94DF7" w14:textId="6DA8A156" w:rsidR="00550804" w:rsidRPr="0020505D" w:rsidRDefault="00866999" w:rsidP="00AC3CDE">
      <w:pPr>
        <w:pStyle w:val="ListParagraph"/>
        <w:numPr>
          <w:ilvl w:val="2"/>
          <w:numId w:val="1"/>
        </w:numPr>
        <w:rPr>
          <w:sz w:val="24"/>
          <w:szCs w:val="24"/>
        </w:rPr>
      </w:pPr>
      <w:r w:rsidRPr="0020505D">
        <w:rPr>
          <w:sz w:val="24"/>
          <w:szCs w:val="24"/>
        </w:rPr>
        <w:t xml:space="preserve">In the second presentation, the word “write” is aorist tense (translated </w:t>
      </w:r>
      <w:r w:rsidRPr="0020505D">
        <w:rPr>
          <w:sz w:val="24"/>
          <w:szCs w:val="24"/>
          <w:u w:val="single"/>
        </w:rPr>
        <w:t>wrote</w:t>
      </w:r>
      <w:r w:rsidRPr="0020505D">
        <w:rPr>
          <w:sz w:val="24"/>
          <w:szCs w:val="24"/>
        </w:rPr>
        <w:t xml:space="preserve"> or </w:t>
      </w:r>
      <w:r w:rsidRPr="0020505D">
        <w:rPr>
          <w:sz w:val="24"/>
          <w:szCs w:val="24"/>
          <w:u w:val="single"/>
        </w:rPr>
        <w:t>have written</w:t>
      </w:r>
      <w:r w:rsidRPr="0020505D">
        <w:rPr>
          <w:sz w:val="24"/>
          <w:szCs w:val="24"/>
        </w:rPr>
        <w:t>)</w:t>
      </w:r>
      <w:r w:rsidR="00A774F3">
        <w:rPr>
          <w:sz w:val="24"/>
          <w:szCs w:val="24"/>
        </w:rPr>
        <w:t>.</w:t>
      </w:r>
      <w:r w:rsidRPr="0020505D">
        <w:rPr>
          <w:sz w:val="24"/>
          <w:szCs w:val="24"/>
        </w:rPr>
        <w:t xml:space="preserve"> </w:t>
      </w:r>
    </w:p>
    <w:p w14:paraId="2F817040" w14:textId="05996E04" w:rsidR="00296BA9" w:rsidRPr="0020505D" w:rsidRDefault="00296BA9" w:rsidP="00296BA9">
      <w:pPr>
        <w:pStyle w:val="ListParagraph"/>
        <w:numPr>
          <w:ilvl w:val="1"/>
          <w:numId w:val="1"/>
        </w:numPr>
        <w:rPr>
          <w:sz w:val="24"/>
          <w:szCs w:val="24"/>
        </w:rPr>
      </w:pPr>
      <w:r w:rsidRPr="0020505D">
        <w:rPr>
          <w:sz w:val="24"/>
          <w:szCs w:val="24"/>
        </w:rPr>
        <w:t>The message is addressed to three audiences.</w:t>
      </w:r>
    </w:p>
    <w:p w14:paraId="6A1E3571" w14:textId="18354077" w:rsidR="00296BA9" w:rsidRPr="0020505D" w:rsidRDefault="00296BA9" w:rsidP="00296BA9">
      <w:pPr>
        <w:pStyle w:val="ListParagraph"/>
        <w:numPr>
          <w:ilvl w:val="2"/>
          <w:numId w:val="1"/>
        </w:numPr>
        <w:rPr>
          <w:sz w:val="24"/>
          <w:szCs w:val="24"/>
        </w:rPr>
      </w:pPr>
      <w:r w:rsidRPr="0020505D">
        <w:rPr>
          <w:sz w:val="24"/>
          <w:szCs w:val="24"/>
        </w:rPr>
        <w:t>“Little children”</w:t>
      </w:r>
    </w:p>
    <w:p w14:paraId="6494381B" w14:textId="0D957D3C" w:rsidR="00090294" w:rsidRPr="0020505D" w:rsidRDefault="0037685A" w:rsidP="0037685A">
      <w:pPr>
        <w:pStyle w:val="ListParagraph"/>
        <w:numPr>
          <w:ilvl w:val="3"/>
          <w:numId w:val="1"/>
        </w:numPr>
        <w:rPr>
          <w:rFonts w:cstheme="minorHAnsi"/>
          <w:bCs/>
          <w:sz w:val="24"/>
          <w:szCs w:val="24"/>
        </w:rPr>
      </w:pPr>
      <w:r w:rsidRPr="0020505D">
        <w:rPr>
          <w:sz w:val="24"/>
          <w:szCs w:val="24"/>
        </w:rPr>
        <w:t xml:space="preserve">In verse 12, the Greek word is </w:t>
      </w:r>
      <w:r w:rsidRPr="00FA1C6C">
        <w:rPr>
          <w:bCs/>
          <w:sz w:val="24"/>
          <w:szCs w:val="24"/>
          <w:u w:val="single"/>
          <w:lang w:val="el-GR"/>
        </w:rPr>
        <w:t>τέκν</w:t>
      </w:r>
      <w:r w:rsidR="002F1BC9" w:rsidRPr="00FA1C6C">
        <w:rPr>
          <w:rFonts w:ascii="Calibri" w:hAnsi="Calibri" w:cs="Calibri"/>
          <w:bCs/>
          <w:sz w:val="24"/>
          <w:szCs w:val="24"/>
          <w:u w:val="single"/>
          <w:lang w:val="el-GR"/>
        </w:rPr>
        <w:t>ια</w:t>
      </w:r>
      <w:r w:rsidRPr="0020505D">
        <w:rPr>
          <w:b/>
          <w:sz w:val="24"/>
          <w:szCs w:val="24"/>
        </w:rPr>
        <w:t xml:space="preserve"> </w:t>
      </w:r>
      <w:r w:rsidR="00090294" w:rsidRPr="0020505D">
        <w:rPr>
          <w:rFonts w:cstheme="minorHAnsi"/>
          <w:bCs/>
          <w:sz w:val="24"/>
          <w:szCs w:val="24"/>
        </w:rPr>
        <w:t xml:space="preserve"> literally means “little born ones.” </w:t>
      </w:r>
    </w:p>
    <w:p w14:paraId="4DF6C45C" w14:textId="64B144E4" w:rsidR="0037685A" w:rsidRPr="0020505D" w:rsidRDefault="00090294" w:rsidP="0037685A">
      <w:pPr>
        <w:pStyle w:val="ListParagraph"/>
        <w:numPr>
          <w:ilvl w:val="3"/>
          <w:numId w:val="1"/>
        </w:numPr>
        <w:rPr>
          <w:rFonts w:cstheme="minorHAnsi"/>
          <w:bCs/>
          <w:sz w:val="24"/>
          <w:szCs w:val="24"/>
        </w:rPr>
      </w:pPr>
      <w:r w:rsidRPr="0020505D">
        <w:rPr>
          <w:rFonts w:cstheme="minorHAnsi"/>
          <w:bCs/>
          <w:sz w:val="24"/>
          <w:szCs w:val="24"/>
        </w:rPr>
        <w:t>It is</w:t>
      </w:r>
      <w:r w:rsidR="0037685A" w:rsidRPr="0020505D">
        <w:rPr>
          <w:rFonts w:cstheme="minorHAnsi"/>
          <w:bCs/>
          <w:sz w:val="24"/>
          <w:szCs w:val="24"/>
        </w:rPr>
        <w:t xml:space="preserve"> a term of endearment </w:t>
      </w:r>
      <w:r w:rsidR="00E65E0D" w:rsidRPr="0020505D">
        <w:rPr>
          <w:rFonts w:cstheme="minorHAnsi"/>
          <w:bCs/>
          <w:sz w:val="24"/>
          <w:szCs w:val="24"/>
        </w:rPr>
        <w:t xml:space="preserve">generally used to show kinship </w:t>
      </w:r>
      <w:r w:rsidRPr="0020505D">
        <w:rPr>
          <w:rFonts w:cstheme="minorHAnsi"/>
          <w:bCs/>
          <w:sz w:val="24"/>
          <w:szCs w:val="24"/>
        </w:rPr>
        <w:t>and is translated “</w:t>
      </w:r>
      <w:r w:rsidR="0037685A" w:rsidRPr="0020505D">
        <w:rPr>
          <w:rFonts w:cstheme="minorHAnsi"/>
          <w:bCs/>
          <w:sz w:val="24"/>
          <w:szCs w:val="24"/>
        </w:rPr>
        <w:t xml:space="preserve">little </w:t>
      </w:r>
      <w:r w:rsidRPr="0020505D">
        <w:rPr>
          <w:rFonts w:cstheme="minorHAnsi"/>
          <w:bCs/>
          <w:sz w:val="24"/>
          <w:szCs w:val="24"/>
        </w:rPr>
        <w:t>children</w:t>
      </w:r>
      <w:r w:rsidR="0037685A" w:rsidRPr="0020505D">
        <w:rPr>
          <w:rFonts w:cstheme="minorHAnsi"/>
          <w:bCs/>
          <w:sz w:val="24"/>
          <w:szCs w:val="24"/>
        </w:rPr>
        <w:t xml:space="preserve">” or </w:t>
      </w:r>
      <w:r w:rsidRPr="0020505D">
        <w:rPr>
          <w:rFonts w:cstheme="minorHAnsi"/>
          <w:bCs/>
          <w:sz w:val="24"/>
          <w:szCs w:val="24"/>
        </w:rPr>
        <w:t>“</w:t>
      </w:r>
      <w:r w:rsidR="0037685A" w:rsidRPr="0020505D">
        <w:rPr>
          <w:rFonts w:cstheme="minorHAnsi"/>
          <w:bCs/>
          <w:iCs/>
          <w:sz w:val="24"/>
          <w:szCs w:val="24"/>
        </w:rPr>
        <w:t>dear sons and daughters</w:t>
      </w:r>
      <w:r w:rsidRPr="0020505D">
        <w:rPr>
          <w:rFonts w:cstheme="minorHAnsi"/>
          <w:bCs/>
          <w:iCs/>
          <w:sz w:val="24"/>
          <w:szCs w:val="24"/>
        </w:rPr>
        <w:t>.”</w:t>
      </w:r>
    </w:p>
    <w:p w14:paraId="7301F470" w14:textId="2E1DF7F5" w:rsidR="00090294" w:rsidRPr="0020505D" w:rsidRDefault="00090294" w:rsidP="00090294">
      <w:pPr>
        <w:pStyle w:val="ListParagraph"/>
        <w:numPr>
          <w:ilvl w:val="4"/>
          <w:numId w:val="1"/>
        </w:numPr>
        <w:rPr>
          <w:rFonts w:cstheme="minorHAnsi"/>
          <w:bCs/>
          <w:sz w:val="24"/>
          <w:szCs w:val="24"/>
        </w:rPr>
      </w:pPr>
      <w:r w:rsidRPr="0020505D">
        <w:rPr>
          <w:rFonts w:cstheme="minorHAnsi"/>
          <w:bCs/>
          <w:iCs/>
          <w:sz w:val="24"/>
          <w:szCs w:val="24"/>
        </w:rPr>
        <w:t>It is masculine in the Greek.</w:t>
      </w:r>
    </w:p>
    <w:p w14:paraId="4EBE3896" w14:textId="07AB1408" w:rsidR="00090294" w:rsidRPr="0020505D" w:rsidRDefault="00090294" w:rsidP="00090294">
      <w:pPr>
        <w:pStyle w:val="ListParagraph"/>
        <w:numPr>
          <w:ilvl w:val="4"/>
          <w:numId w:val="1"/>
        </w:numPr>
        <w:rPr>
          <w:rFonts w:cstheme="minorHAnsi"/>
          <w:bCs/>
          <w:sz w:val="24"/>
          <w:szCs w:val="24"/>
        </w:rPr>
      </w:pPr>
      <w:r w:rsidRPr="0020505D">
        <w:rPr>
          <w:rFonts w:cstheme="minorHAnsi"/>
          <w:bCs/>
          <w:iCs/>
          <w:sz w:val="24"/>
          <w:szCs w:val="24"/>
        </w:rPr>
        <w:t xml:space="preserve">It is used in the same sense as we use a masculine </w:t>
      </w:r>
      <w:r w:rsidR="00A774F3">
        <w:rPr>
          <w:rFonts w:cstheme="minorHAnsi"/>
          <w:bCs/>
          <w:iCs/>
          <w:sz w:val="24"/>
          <w:szCs w:val="24"/>
        </w:rPr>
        <w:t xml:space="preserve">form </w:t>
      </w:r>
      <w:r w:rsidRPr="0020505D">
        <w:rPr>
          <w:rFonts w:cstheme="minorHAnsi"/>
          <w:bCs/>
          <w:iCs/>
          <w:sz w:val="24"/>
          <w:szCs w:val="24"/>
        </w:rPr>
        <w:t xml:space="preserve">many times to refer to </w:t>
      </w:r>
      <w:r w:rsidR="00E65E0D" w:rsidRPr="0020505D">
        <w:rPr>
          <w:rFonts w:cstheme="minorHAnsi"/>
          <w:bCs/>
          <w:iCs/>
          <w:sz w:val="24"/>
          <w:szCs w:val="24"/>
        </w:rPr>
        <w:t>“</w:t>
      </w:r>
      <w:r w:rsidRPr="0020505D">
        <w:rPr>
          <w:rFonts w:cstheme="minorHAnsi"/>
          <w:bCs/>
          <w:iCs/>
          <w:sz w:val="24"/>
          <w:szCs w:val="24"/>
        </w:rPr>
        <w:t>men and women.</w:t>
      </w:r>
      <w:r w:rsidR="00E65E0D" w:rsidRPr="0020505D">
        <w:rPr>
          <w:rFonts w:cstheme="minorHAnsi"/>
          <w:bCs/>
          <w:iCs/>
          <w:sz w:val="24"/>
          <w:szCs w:val="24"/>
        </w:rPr>
        <w:t>”</w:t>
      </w:r>
      <w:r w:rsidRPr="0020505D">
        <w:rPr>
          <w:rFonts w:cstheme="minorHAnsi"/>
          <w:bCs/>
          <w:iCs/>
          <w:sz w:val="24"/>
          <w:szCs w:val="24"/>
        </w:rPr>
        <w:t xml:space="preserve"> </w:t>
      </w:r>
    </w:p>
    <w:p w14:paraId="4140ECCE" w14:textId="67E11ECF" w:rsidR="00E65E0D" w:rsidRPr="0020505D" w:rsidRDefault="000D1A82" w:rsidP="000D1A82">
      <w:pPr>
        <w:pStyle w:val="ListParagraph"/>
        <w:numPr>
          <w:ilvl w:val="3"/>
          <w:numId w:val="1"/>
        </w:numPr>
        <w:rPr>
          <w:rFonts w:cstheme="minorHAnsi"/>
          <w:bCs/>
          <w:sz w:val="24"/>
          <w:szCs w:val="24"/>
        </w:rPr>
      </w:pPr>
      <w:r w:rsidRPr="0020505D">
        <w:rPr>
          <w:rFonts w:ascii="Calibri" w:hAnsi="Calibri" w:cs="Calibri"/>
          <w:sz w:val="24"/>
          <w:szCs w:val="24"/>
        </w:rPr>
        <w:t xml:space="preserve">“Little children” is </w:t>
      </w:r>
      <w:r w:rsidRPr="00FA1C6C">
        <w:rPr>
          <w:rFonts w:ascii="Calibri" w:hAnsi="Calibri" w:cs="Calibri"/>
          <w:sz w:val="24"/>
          <w:szCs w:val="24"/>
          <w:u w:val="single"/>
          <w:lang w:val="el-GR"/>
        </w:rPr>
        <w:t>παιδι</w:t>
      </w:r>
      <w:r w:rsidR="002F1BC9" w:rsidRPr="00FA1C6C">
        <w:rPr>
          <w:rFonts w:ascii="Calibri" w:hAnsi="Calibri" w:cs="Calibri"/>
          <w:sz w:val="24"/>
          <w:szCs w:val="24"/>
          <w:u w:val="single"/>
          <w:lang w:val="el-GR"/>
        </w:rPr>
        <w:t>α</w:t>
      </w:r>
      <w:r w:rsidRPr="0020505D">
        <w:rPr>
          <w:rFonts w:ascii="Calibri" w:hAnsi="Calibri" w:cs="Calibri"/>
          <w:sz w:val="24"/>
          <w:szCs w:val="24"/>
        </w:rPr>
        <w:t xml:space="preserve">  refers to a young</w:t>
      </w:r>
      <w:r w:rsidR="00E65E0D" w:rsidRPr="0020505D">
        <w:rPr>
          <w:rFonts w:ascii="Calibri" w:hAnsi="Calibri" w:cs="Calibri"/>
          <w:sz w:val="24"/>
          <w:szCs w:val="24"/>
        </w:rPr>
        <w:t>, immature</w:t>
      </w:r>
      <w:r w:rsidRPr="0020505D">
        <w:rPr>
          <w:rFonts w:ascii="Calibri" w:hAnsi="Calibri" w:cs="Calibri"/>
          <w:sz w:val="24"/>
          <w:szCs w:val="24"/>
        </w:rPr>
        <w:t xml:space="preserve"> child. </w:t>
      </w:r>
    </w:p>
    <w:p w14:paraId="026F47AF" w14:textId="510F0BAF" w:rsidR="00A774F3" w:rsidRPr="00A774F3" w:rsidRDefault="000D1A82" w:rsidP="00E65E0D">
      <w:pPr>
        <w:pStyle w:val="ListParagraph"/>
        <w:numPr>
          <w:ilvl w:val="4"/>
          <w:numId w:val="1"/>
        </w:numPr>
        <w:rPr>
          <w:rFonts w:cstheme="minorHAnsi"/>
          <w:bCs/>
          <w:sz w:val="24"/>
          <w:szCs w:val="24"/>
        </w:rPr>
      </w:pPr>
      <w:r w:rsidRPr="0020505D">
        <w:rPr>
          <w:rFonts w:ascii="Calibri" w:hAnsi="Calibri" w:cs="Calibri"/>
          <w:sz w:val="24"/>
          <w:szCs w:val="24"/>
        </w:rPr>
        <w:t xml:space="preserve">One could translate </w:t>
      </w:r>
      <w:r w:rsidR="00FA1C6C" w:rsidRPr="00FA1C6C">
        <w:rPr>
          <w:rFonts w:ascii="Calibri" w:hAnsi="Calibri" w:cs="Calibri"/>
          <w:sz w:val="24"/>
          <w:szCs w:val="24"/>
        </w:rPr>
        <w:t>it</w:t>
      </w:r>
      <w:r w:rsidR="00E65E0D" w:rsidRPr="0020505D">
        <w:rPr>
          <w:rFonts w:ascii="Calibri" w:hAnsi="Calibri" w:cs="Calibri"/>
          <w:sz w:val="24"/>
          <w:szCs w:val="24"/>
        </w:rPr>
        <w:t xml:space="preserve"> as </w:t>
      </w:r>
      <w:r w:rsidRPr="0020505D">
        <w:rPr>
          <w:rFonts w:ascii="Calibri" w:hAnsi="Calibri" w:cs="Calibri"/>
          <w:sz w:val="24"/>
          <w:szCs w:val="24"/>
        </w:rPr>
        <w:t xml:space="preserve"> “little child</w:t>
      </w:r>
      <w:r w:rsidR="002F1BC9" w:rsidRPr="0020505D">
        <w:rPr>
          <w:rFonts w:ascii="Calibri" w:hAnsi="Calibri" w:cs="Calibri"/>
          <w:sz w:val="24"/>
          <w:szCs w:val="24"/>
        </w:rPr>
        <w:t>ren</w:t>
      </w:r>
      <w:r w:rsidRPr="0020505D">
        <w:rPr>
          <w:rFonts w:ascii="Calibri" w:hAnsi="Calibri" w:cs="Calibri"/>
          <w:sz w:val="24"/>
          <w:szCs w:val="24"/>
        </w:rPr>
        <w:t xml:space="preserve"> under instruction</w:t>
      </w:r>
      <w:r w:rsidR="00A774F3">
        <w:rPr>
          <w:rFonts w:ascii="Calibri" w:hAnsi="Calibri" w:cs="Calibri"/>
          <w:sz w:val="24"/>
          <w:szCs w:val="24"/>
        </w:rPr>
        <w:t>.</w:t>
      </w:r>
      <w:r w:rsidRPr="0020505D">
        <w:rPr>
          <w:rFonts w:ascii="Calibri" w:hAnsi="Calibri" w:cs="Calibri"/>
          <w:sz w:val="24"/>
          <w:szCs w:val="24"/>
        </w:rPr>
        <w:t>”</w:t>
      </w:r>
    </w:p>
    <w:p w14:paraId="37EF471A" w14:textId="574B14D3" w:rsidR="00E65E0D" w:rsidRPr="00A774F3" w:rsidRDefault="00A774F3" w:rsidP="00A774F3">
      <w:pPr>
        <w:pStyle w:val="ListParagraph"/>
        <w:numPr>
          <w:ilvl w:val="4"/>
          <w:numId w:val="1"/>
        </w:numPr>
        <w:rPr>
          <w:rFonts w:cstheme="minorHAnsi"/>
          <w:bCs/>
          <w:sz w:val="24"/>
          <w:szCs w:val="24"/>
        </w:rPr>
      </w:pPr>
      <w:r>
        <w:rPr>
          <w:rFonts w:ascii="Calibri" w:hAnsi="Calibri" w:cs="Calibri"/>
          <w:sz w:val="24"/>
          <w:szCs w:val="24"/>
        </w:rPr>
        <w:t>I</w:t>
      </w:r>
      <w:r w:rsidR="002F1BC9" w:rsidRPr="0020505D">
        <w:rPr>
          <w:rFonts w:ascii="Calibri" w:hAnsi="Calibri" w:cs="Calibri"/>
          <w:sz w:val="24"/>
          <w:szCs w:val="24"/>
        </w:rPr>
        <w:t>t</w:t>
      </w:r>
      <w:r w:rsidR="00E65E0D" w:rsidRPr="0020505D">
        <w:rPr>
          <w:rFonts w:ascii="Calibri" w:hAnsi="Calibri" w:cs="Calibri"/>
          <w:sz w:val="24"/>
          <w:szCs w:val="24"/>
        </w:rPr>
        <w:t xml:space="preserve"> stresses the ideas of subordination and discipline more than the idea of kinship.</w:t>
      </w:r>
    </w:p>
    <w:p w14:paraId="7DD79E2C" w14:textId="2CF3D88A" w:rsidR="00296BA9" w:rsidRPr="0020505D" w:rsidRDefault="00296BA9" w:rsidP="00296BA9">
      <w:pPr>
        <w:pStyle w:val="ListParagraph"/>
        <w:numPr>
          <w:ilvl w:val="2"/>
          <w:numId w:val="1"/>
        </w:numPr>
        <w:rPr>
          <w:sz w:val="24"/>
          <w:szCs w:val="24"/>
        </w:rPr>
      </w:pPr>
      <w:r w:rsidRPr="0020505D">
        <w:rPr>
          <w:sz w:val="24"/>
          <w:szCs w:val="24"/>
        </w:rPr>
        <w:t>“Fathers”</w:t>
      </w:r>
    </w:p>
    <w:p w14:paraId="21C6FBC7" w14:textId="40A2C2B0" w:rsidR="00090294" w:rsidRPr="0020505D" w:rsidRDefault="00E65E0D" w:rsidP="00090294">
      <w:pPr>
        <w:pStyle w:val="ListParagraph"/>
        <w:numPr>
          <w:ilvl w:val="3"/>
          <w:numId w:val="1"/>
        </w:numPr>
        <w:rPr>
          <w:sz w:val="24"/>
          <w:szCs w:val="24"/>
        </w:rPr>
      </w:pPr>
      <w:r w:rsidRPr="0020505D">
        <w:rPr>
          <w:sz w:val="24"/>
          <w:szCs w:val="24"/>
        </w:rPr>
        <w:t xml:space="preserve">The Greek word is </w:t>
      </w:r>
      <w:r w:rsidR="001D6731" w:rsidRPr="00FA1C6C">
        <w:rPr>
          <w:rFonts w:ascii="Calibri" w:hAnsi="Calibri" w:cs="Calibri"/>
          <w:sz w:val="24"/>
          <w:szCs w:val="24"/>
          <w:u w:val="single"/>
          <w:lang w:val="el-GR"/>
        </w:rPr>
        <w:t>πα</w:t>
      </w:r>
      <w:r w:rsidR="001D6731" w:rsidRPr="00FA1C6C">
        <w:rPr>
          <w:sz w:val="24"/>
          <w:szCs w:val="24"/>
          <w:u w:val="single"/>
          <w:lang w:val="el-GR"/>
        </w:rPr>
        <w:t>τέ</w:t>
      </w:r>
      <w:r w:rsidR="002F1BC9" w:rsidRPr="00FA1C6C">
        <w:rPr>
          <w:rFonts w:ascii="PCSB Greek Outline" w:hAnsi="PCSB Greek Outline" w:cstheme="minorHAnsi"/>
          <w:color w:val="000000"/>
          <w:sz w:val="24"/>
          <w:szCs w:val="24"/>
          <w:u w:val="single"/>
        </w:rPr>
        <w:t>/</w:t>
      </w:r>
      <w:r w:rsidR="003637F3" w:rsidRPr="00FA1C6C">
        <w:rPr>
          <w:sz w:val="24"/>
          <w:szCs w:val="24"/>
          <w:u w:val="single"/>
          <w:lang w:val="el-GR"/>
        </w:rPr>
        <w:t>ρ</w:t>
      </w:r>
      <w:r w:rsidR="003637F3" w:rsidRPr="00FA1C6C">
        <w:rPr>
          <w:sz w:val="24"/>
          <w:szCs w:val="24"/>
          <w:u w:val="single"/>
        </w:rPr>
        <w:t>ε</w:t>
      </w:r>
      <w:r w:rsidR="003637F3" w:rsidRPr="00FA1C6C">
        <w:rPr>
          <w:sz w:val="24"/>
          <w:szCs w:val="24"/>
          <w:u w:val="single"/>
          <w:lang w:val="el-GR"/>
        </w:rPr>
        <w:t>ς</w:t>
      </w:r>
      <w:r w:rsidR="003637F3" w:rsidRPr="0020505D">
        <w:rPr>
          <w:rFonts w:ascii="PCSB Greek Outline" w:hAnsi="PCSB Greek Outline" w:cstheme="minorHAnsi"/>
          <w:b/>
          <w:bCs/>
          <w:color w:val="000000"/>
          <w:sz w:val="24"/>
          <w:szCs w:val="24"/>
        </w:rPr>
        <w:t>.</w:t>
      </w:r>
    </w:p>
    <w:p w14:paraId="3F13C2C3" w14:textId="2627D181" w:rsidR="003637F3" w:rsidRPr="0020505D" w:rsidRDefault="003637F3" w:rsidP="00090294">
      <w:pPr>
        <w:pStyle w:val="ListParagraph"/>
        <w:numPr>
          <w:ilvl w:val="3"/>
          <w:numId w:val="1"/>
        </w:numPr>
        <w:rPr>
          <w:sz w:val="24"/>
          <w:szCs w:val="24"/>
        </w:rPr>
      </w:pPr>
      <w:r w:rsidRPr="0020505D">
        <w:rPr>
          <w:rFonts w:ascii="Calibri" w:hAnsi="Calibri" w:cs="Calibri"/>
          <w:color w:val="000000"/>
          <w:sz w:val="24"/>
          <w:szCs w:val="24"/>
        </w:rPr>
        <w:t xml:space="preserve">It can refer to father, grandfather, mature men, or </w:t>
      </w:r>
      <w:r w:rsidR="001C673A" w:rsidRPr="0020505D">
        <w:rPr>
          <w:rFonts w:ascii="Calibri" w:hAnsi="Calibri" w:cs="Calibri"/>
          <w:color w:val="000000"/>
          <w:sz w:val="24"/>
          <w:szCs w:val="24"/>
        </w:rPr>
        <w:t xml:space="preserve">mature </w:t>
      </w:r>
      <w:r w:rsidRPr="0020505D">
        <w:rPr>
          <w:rFonts w:ascii="Calibri" w:hAnsi="Calibri" w:cs="Calibri"/>
          <w:color w:val="000000"/>
          <w:sz w:val="24"/>
          <w:szCs w:val="24"/>
        </w:rPr>
        <w:t>men and women.</w:t>
      </w:r>
    </w:p>
    <w:p w14:paraId="6396DFE1" w14:textId="760316B9" w:rsidR="00296BA9" w:rsidRPr="0020505D" w:rsidRDefault="00296BA9" w:rsidP="00296BA9">
      <w:pPr>
        <w:pStyle w:val="ListParagraph"/>
        <w:numPr>
          <w:ilvl w:val="2"/>
          <w:numId w:val="1"/>
        </w:numPr>
        <w:rPr>
          <w:sz w:val="24"/>
          <w:szCs w:val="24"/>
        </w:rPr>
      </w:pPr>
      <w:r w:rsidRPr="0020505D">
        <w:rPr>
          <w:sz w:val="24"/>
          <w:szCs w:val="24"/>
        </w:rPr>
        <w:t>“Young men”</w:t>
      </w:r>
    </w:p>
    <w:p w14:paraId="6F8BB7C8" w14:textId="033FFC78" w:rsidR="003637F3" w:rsidRPr="0020505D" w:rsidRDefault="003637F3" w:rsidP="003637F3">
      <w:pPr>
        <w:pStyle w:val="ListParagraph"/>
        <w:numPr>
          <w:ilvl w:val="3"/>
          <w:numId w:val="1"/>
        </w:numPr>
        <w:rPr>
          <w:sz w:val="24"/>
          <w:szCs w:val="24"/>
        </w:rPr>
      </w:pPr>
      <w:r w:rsidRPr="0020505D">
        <w:rPr>
          <w:sz w:val="24"/>
          <w:szCs w:val="24"/>
        </w:rPr>
        <w:t xml:space="preserve">The Greek word is </w:t>
      </w:r>
      <w:r w:rsidRPr="00FA1C6C">
        <w:rPr>
          <w:rFonts w:ascii="PCSB Greek" w:hAnsi="PCSB Greek"/>
          <w:color w:val="000000"/>
          <w:sz w:val="24"/>
          <w:szCs w:val="24"/>
          <w:u w:val="single"/>
        </w:rPr>
        <w:t>neani/skoi</w:t>
      </w:r>
      <w:r w:rsidR="001C673A" w:rsidRPr="0020505D">
        <w:rPr>
          <w:rFonts w:ascii="PCSB Greek" w:hAnsi="PCSB Greek"/>
          <w:b/>
          <w:bCs/>
          <w:color w:val="000000"/>
          <w:sz w:val="24"/>
          <w:szCs w:val="24"/>
        </w:rPr>
        <w:t>.</w:t>
      </w:r>
    </w:p>
    <w:p w14:paraId="48C52A49" w14:textId="7C690137" w:rsidR="001C673A" w:rsidRPr="0020505D" w:rsidRDefault="001C673A" w:rsidP="003637F3">
      <w:pPr>
        <w:pStyle w:val="ListParagraph"/>
        <w:numPr>
          <w:ilvl w:val="3"/>
          <w:numId w:val="1"/>
        </w:numPr>
        <w:rPr>
          <w:sz w:val="24"/>
          <w:szCs w:val="24"/>
        </w:rPr>
      </w:pPr>
      <w:r w:rsidRPr="0020505D">
        <w:rPr>
          <w:sz w:val="24"/>
          <w:szCs w:val="24"/>
        </w:rPr>
        <w:t>It has reference to youth under forty.</w:t>
      </w:r>
    </w:p>
    <w:p w14:paraId="36F3752E" w14:textId="3DE7E5A3" w:rsidR="001C673A" w:rsidRDefault="00A774F3" w:rsidP="00A774F3">
      <w:pPr>
        <w:pStyle w:val="ListParagraph"/>
        <w:numPr>
          <w:ilvl w:val="0"/>
          <w:numId w:val="1"/>
        </w:numPr>
        <w:rPr>
          <w:sz w:val="24"/>
          <w:szCs w:val="24"/>
        </w:rPr>
      </w:pPr>
      <w:r>
        <w:rPr>
          <w:sz w:val="24"/>
          <w:szCs w:val="24"/>
        </w:rPr>
        <w:t>Why did John repeat himself?</w:t>
      </w:r>
    </w:p>
    <w:p w14:paraId="7A578EF4" w14:textId="77777777" w:rsidR="00F0550D" w:rsidRPr="00F0550D" w:rsidRDefault="00FA1C6C" w:rsidP="001C4674">
      <w:pPr>
        <w:pStyle w:val="ListParagraph"/>
        <w:numPr>
          <w:ilvl w:val="1"/>
          <w:numId w:val="1"/>
        </w:numPr>
        <w:rPr>
          <w:sz w:val="24"/>
          <w:szCs w:val="24"/>
        </w:rPr>
      </w:pPr>
      <w:r w:rsidRPr="00F0550D">
        <w:rPr>
          <w:sz w:val="24"/>
          <w:szCs w:val="24"/>
        </w:rPr>
        <w:t xml:space="preserve">Repetition </w:t>
      </w:r>
      <w:r w:rsidR="00F0550D" w:rsidRPr="0020505D">
        <w:rPr>
          <w:rFonts w:ascii="Calibri" w:hAnsi="Calibri" w:cs="Calibri"/>
          <w:sz w:val="24"/>
          <w:szCs w:val="24"/>
        </w:rPr>
        <w:t>is often used to place emphasis on a thought or idea</w:t>
      </w:r>
      <w:r w:rsidR="00F0550D">
        <w:rPr>
          <w:rFonts w:ascii="Calibri" w:hAnsi="Calibri" w:cs="Calibri"/>
          <w:sz w:val="24"/>
          <w:szCs w:val="24"/>
        </w:rPr>
        <w:t xml:space="preserve">. </w:t>
      </w:r>
    </w:p>
    <w:p w14:paraId="07751B40" w14:textId="6AA2B024" w:rsidR="00FA1C6C" w:rsidRDefault="00FA1C6C" w:rsidP="001C4674">
      <w:pPr>
        <w:pStyle w:val="ListParagraph"/>
        <w:numPr>
          <w:ilvl w:val="1"/>
          <w:numId w:val="1"/>
        </w:numPr>
        <w:rPr>
          <w:sz w:val="24"/>
          <w:szCs w:val="24"/>
        </w:rPr>
      </w:pPr>
      <w:r w:rsidRPr="00F0550D">
        <w:rPr>
          <w:sz w:val="24"/>
          <w:szCs w:val="24"/>
        </w:rPr>
        <w:t>This particular repetition has a poetic flow which would have been appreciated by his readers or hearers.</w:t>
      </w:r>
    </w:p>
    <w:p w14:paraId="1E04BA43" w14:textId="77777777" w:rsidR="000F3145" w:rsidRPr="000F3145" w:rsidRDefault="000F3145" w:rsidP="001C4674">
      <w:pPr>
        <w:pStyle w:val="ListParagraph"/>
        <w:numPr>
          <w:ilvl w:val="1"/>
          <w:numId w:val="1"/>
        </w:numPr>
        <w:rPr>
          <w:sz w:val="24"/>
          <w:szCs w:val="24"/>
        </w:rPr>
      </w:pPr>
      <w:r w:rsidRPr="000F3145">
        <w:rPr>
          <w:rFonts w:ascii="Calibri" w:hAnsi="Calibri" w:cs="Calibri"/>
          <w:sz w:val="24"/>
          <w:szCs w:val="24"/>
        </w:rPr>
        <w:t xml:space="preserve">For emphasis: John is driving home the point that believers must grow in Christ. </w:t>
      </w:r>
    </w:p>
    <w:p w14:paraId="7122F82C" w14:textId="77777777" w:rsidR="000F3145" w:rsidRPr="000F3145" w:rsidRDefault="000F3145" w:rsidP="000F3145">
      <w:pPr>
        <w:pStyle w:val="ListParagraph"/>
        <w:numPr>
          <w:ilvl w:val="2"/>
          <w:numId w:val="1"/>
        </w:numPr>
        <w:rPr>
          <w:sz w:val="24"/>
          <w:szCs w:val="24"/>
        </w:rPr>
      </w:pPr>
      <w:r w:rsidRPr="000F3145">
        <w:rPr>
          <w:rFonts w:ascii="Calibri" w:hAnsi="Calibri" w:cs="Calibri"/>
          <w:sz w:val="24"/>
          <w:szCs w:val="24"/>
        </w:rPr>
        <w:t>They must confirm their growth in Christ, confirm their great relationship with God</w:t>
      </w:r>
      <w:r>
        <w:rPr>
          <w:rFonts w:ascii="Calibri" w:hAnsi="Calibri" w:cs="Calibri"/>
          <w:sz w:val="24"/>
          <w:szCs w:val="24"/>
        </w:rPr>
        <w:t>.</w:t>
      </w:r>
    </w:p>
    <w:p w14:paraId="7E4C5667" w14:textId="78BA51DE" w:rsidR="000F3145" w:rsidRPr="00F0550D" w:rsidRDefault="000F3145" w:rsidP="000F3145">
      <w:pPr>
        <w:pStyle w:val="ListParagraph"/>
        <w:numPr>
          <w:ilvl w:val="2"/>
          <w:numId w:val="1"/>
        </w:numPr>
        <w:rPr>
          <w:sz w:val="24"/>
          <w:szCs w:val="24"/>
        </w:rPr>
      </w:pPr>
      <w:r>
        <w:rPr>
          <w:rFonts w:ascii="Calibri" w:hAnsi="Calibri" w:cs="Calibri"/>
          <w:sz w:val="24"/>
          <w:szCs w:val="24"/>
        </w:rPr>
        <w:t>It must be done</w:t>
      </w:r>
      <w:r w:rsidRPr="000F3145">
        <w:rPr>
          <w:rFonts w:ascii="Calibri" w:hAnsi="Calibri" w:cs="Calibri"/>
          <w:sz w:val="24"/>
          <w:szCs w:val="24"/>
        </w:rPr>
        <w:t xml:space="preserve"> over and over again.</w:t>
      </w:r>
      <w:r w:rsidRPr="000F3145">
        <w:rPr>
          <w:rFonts w:ascii="Calibri" w:hAnsi="Calibri" w:cs="Calibri"/>
          <w:sz w:val="24"/>
          <w:szCs w:val="24"/>
          <w:vertAlign w:val="superscript"/>
        </w:rPr>
        <w:footnoteReference w:id="1"/>
      </w:r>
    </w:p>
    <w:p w14:paraId="07526799" w14:textId="168E32C4" w:rsidR="00FA1C6C" w:rsidRDefault="00FA1C6C" w:rsidP="00FA1C6C">
      <w:pPr>
        <w:pStyle w:val="ListParagraph"/>
        <w:numPr>
          <w:ilvl w:val="0"/>
          <w:numId w:val="1"/>
        </w:numPr>
        <w:rPr>
          <w:sz w:val="24"/>
          <w:szCs w:val="24"/>
        </w:rPr>
      </w:pPr>
      <w:r>
        <w:rPr>
          <w:sz w:val="24"/>
          <w:szCs w:val="24"/>
        </w:rPr>
        <w:t>What is special, if anything, about the three different groups addressed?</w:t>
      </w:r>
    </w:p>
    <w:p w14:paraId="250596CD" w14:textId="77777777" w:rsidR="00F0550D" w:rsidRDefault="00F0550D" w:rsidP="00FA1C6C">
      <w:pPr>
        <w:pStyle w:val="ListParagraph"/>
        <w:numPr>
          <w:ilvl w:val="1"/>
          <w:numId w:val="1"/>
        </w:numPr>
        <w:rPr>
          <w:sz w:val="24"/>
          <w:szCs w:val="24"/>
        </w:rPr>
      </w:pPr>
      <w:r>
        <w:rPr>
          <w:sz w:val="24"/>
          <w:szCs w:val="24"/>
        </w:rPr>
        <w:t>John could have been addressing his recipients as a general group.</w:t>
      </w:r>
    </w:p>
    <w:p w14:paraId="683E4F09" w14:textId="636B762A" w:rsidR="00FA1C6C" w:rsidRDefault="00F0550D" w:rsidP="00F0550D">
      <w:pPr>
        <w:pStyle w:val="ListParagraph"/>
        <w:numPr>
          <w:ilvl w:val="2"/>
          <w:numId w:val="1"/>
        </w:numPr>
        <w:rPr>
          <w:sz w:val="24"/>
          <w:szCs w:val="24"/>
        </w:rPr>
      </w:pPr>
      <w:r>
        <w:rPr>
          <w:sz w:val="24"/>
          <w:szCs w:val="24"/>
        </w:rPr>
        <w:t>Using the terms “little children” could have been a means of endearment to all.</w:t>
      </w:r>
    </w:p>
    <w:p w14:paraId="2CA12052" w14:textId="5CC7F17F" w:rsidR="00F0550D" w:rsidRDefault="00F0550D" w:rsidP="00F0550D">
      <w:pPr>
        <w:pStyle w:val="ListParagraph"/>
        <w:numPr>
          <w:ilvl w:val="2"/>
          <w:numId w:val="1"/>
        </w:numPr>
        <w:rPr>
          <w:sz w:val="24"/>
          <w:szCs w:val="24"/>
        </w:rPr>
      </w:pPr>
      <w:r>
        <w:rPr>
          <w:sz w:val="24"/>
          <w:szCs w:val="24"/>
        </w:rPr>
        <w:lastRenderedPageBreak/>
        <w:t>The terms “fathers” and “young men” could have referred to subgroups of young adults and more mature adults. It would have included men and women.</w:t>
      </w:r>
    </w:p>
    <w:p w14:paraId="7D887305" w14:textId="15D479E9" w:rsidR="00F0550D" w:rsidRDefault="00F0550D" w:rsidP="00F0550D">
      <w:pPr>
        <w:pStyle w:val="ListParagraph"/>
        <w:numPr>
          <w:ilvl w:val="1"/>
          <w:numId w:val="1"/>
        </w:numPr>
        <w:rPr>
          <w:sz w:val="24"/>
          <w:szCs w:val="24"/>
        </w:rPr>
      </w:pPr>
      <w:r>
        <w:rPr>
          <w:sz w:val="24"/>
          <w:szCs w:val="24"/>
        </w:rPr>
        <w:t xml:space="preserve">John could have been addressing </w:t>
      </w:r>
      <w:r w:rsidR="00442F29">
        <w:rPr>
          <w:sz w:val="24"/>
          <w:szCs w:val="24"/>
        </w:rPr>
        <w:t>different levels of maturity within the church family.</w:t>
      </w:r>
    </w:p>
    <w:p w14:paraId="1355A7CE" w14:textId="18428385" w:rsidR="00442F29" w:rsidRDefault="00442F29" w:rsidP="00442F29">
      <w:pPr>
        <w:pStyle w:val="ListParagraph"/>
        <w:numPr>
          <w:ilvl w:val="2"/>
          <w:numId w:val="1"/>
        </w:numPr>
        <w:rPr>
          <w:sz w:val="24"/>
          <w:szCs w:val="24"/>
        </w:rPr>
      </w:pPr>
      <w:r>
        <w:rPr>
          <w:sz w:val="24"/>
          <w:szCs w:val="24"/>
        </w:rPr>
        <w:t>“Little children” could refer to recently converted, spiritually immature believers</w:t>
      </w:r>
      <w:r w:rsidR="00FB043B">
        <w:rPr>
          <w:sz w:val="24"/>
          <w:szCs w:val="24"/>
        </w:rPr>
        <w:t xml:space="preserve"> who were just beginning to grow in Christ.</w:t>
      </w:r>
    </w:p>
    <w:p w14:paraId="0753F9D2" w14:textId="0DCE93FC" w:rsidR="00442F29" w:rsidRDefault="00442F29" w:rsidP="00442F29">
      <w:pPr>
        <w:pStyle w:val="ListParagraph"/>
        <w:numPr>
          <w:ilvl w:val="2"/>
          <w:numId w:val="1"/>
        </w:numPr>
        <w:rPr>
          <w:sz w:val="24"/>
          <w:szCs w:val="24"/>
        </w:rPr>
      </w:pPr>
      <w:r>
        <w:rPr>
          <w:sz w:val="24"/>
          <w:szCs w:val="24"/>
        </w:rPr>
        <w:t xml:space="preserve">“Fathers” could refer to </w:t>
      </w:r>
      <w:r w:rsidR="00FB043B">
        <w:rPr>
          <w:sz w:val="24"/>
          <w:szCs w:val="24"/>
        </w:rPr>
        <w:t xml:space="preserve">older and more </w:t>
      </w:r>
      <w:r w:rsidR="00594CE6">
        <w:rPr>
          <w:sz w:val="24"/>
          <w:szCs w:val="24"/>
        </w:rPr>
        <w:t xml:space="preserve">spiritually </w:t>
      </w:r>
      <w:r>
        <w:rPr>
          <w:sz w:val="24"/>
          <w:szCs w:val="24"/>
        </w:rPr>
        <w:t>mature believers who</w:t>
      </w:r>
      <w:r w:rsidR="00594CE6">
        <w:rPr>
          <w:sz w:val="24"/>
          <w:szCs w:val="24"/>
        </w:rPr>
        <w:t xml:space="preserve"> had a deeper, richer knowledge of God</w:t>
      </w:r>
      <w:r w:rsidR="00FB043B">
        <w:rPr>
          <w:sz w:val="24"/>
          <w:szCs w:val="24"/>
        </w:rPr>
        <w:t>.</w:t>
      </w:r>
    </w:p>
    <w:p w14:paraId="34373A43" w14:textId="0C0E21A6" w:rsidR="00FB043B" w:rsidRDefault="00594CE6" w:rsidP="00442F29">
      <w:pPr>
        <w:pStyle w:val="ListParagraph"/>
        <w:numPr>
          <w:ilvl w:val="2"/>
          <w:numId w:val="1"/>
        </w:numPr>
        <w:rPr>
          <w:sz w:val="24"/>
          <w:szCs w:val="24"/>
        </w:rPr>
      </w:pPr>
      <w:r>
        <w:rPr>
          <w:sz w:val="24"/>
          <w:szCs w:val="24"/>
        </w:rPr>
        <w:t>“Young men” could refer those believers who were younger</w:t>
      </w:r>
      <w:r w:rsidR="00FB043B">
        <w:rPr>
          <w:sz w:val="24"/>
          <w:szCs w:val="24"/>
        </w:rPr>
        <w:t xml:space="preserve"> in years and</w:t>
      </w:r>
      <w:r w:rsidR="00676E2D">
        <w:rPr>
          <w:sz w:val="24"/>
          <w:szCs w:val="24"/>
        </w:rPr>
        <w:t>/or</w:t>
      </w:r>
      <w:r>
        <w:rPr>
          <w:sz w:val="24"/>
          <w:szCs w:val="24"/>
        </w:rPr>
        <w:t xml:space="preserve"> in their faith, but had faced spiritual battles against </w:t>
      </w:r>
      <w:r w:rsidR="00FB043B">
        <w:rPr>
          <w:sz w:val="24"/>
          <w:szCs w:val="24"/>
        </w:rPr>
        <w:t xml:space="preserve">Satan </w:t>
      </w:r>
      <w:r>
        <w:rPr>
          <w:sz w:val="24"/>
          <w:szCs w:val="24"/>
        </w:rPr>
        <w:t xml:space="preserve">and </w:t>
      </w:r>
      <w:r w:rsidR="00FB043B">
        <w:rPr>
          <w:sz w:val="24"/>
          <w:szCs w:val="24"/>
        </w:rPr>
        <w:t>had been victorious.</w:t>
      </w:r>
      <w:r>
        <w:rPr>
          <w:sz w:val="24"/>
          <w:szCs w:val="24"/>
        </w:rPr>
        <w:t xml:space="preserve"> </w:t>
      </w:r>
    </w:p>
    <w:p w14:paraId="79CE1265" w14:textId="63044154" w:rsidR="00594CE6" w:rsidRDefault="00594CE6" w:rsidP="000F3145">
      <w:pPr>
        <w:pStyle w:val="ListParagraph"/>
        <w:numPr>
          <w:ilvl w:val="0"/>
          <w:numId w:val="1"/>
        </w:numPr>
        <w:rPr>
          <w:sz w:val="24"/>
          <w:szCs w:val="24"/>
        </w:rPr>
      </w:pPr>
      <w:r>
        <w:rPr>
          <w:sz w:val="24"/>
          <w:szCs w:val="24"/>
        </w:rPr>
        <w:t xml:space="preserve"> </w:t>
      </w:r>
      <w:r w:rsidR="00022816">
        <w:rPr>
          <w:sz w:val="24"/>
          <w:szCs w:val="24"/>
        </w:rPr>
        <w:t>Why did John use two different words to indicate “little children?”</w:t>
      </w:r>
    </w:p>
    <w:p w14:paraId="6F317FD1" w14:textId="08305423" w:rsidR="006E5BCA" w:rsidRDefault="004809EF" w:rsidP="00022816">
      <w:pPr>
        <w:pStyle w:val="ListParagraph"/>
        <w:numPr>
          <w:ilvl w:val="1"/>
          <w:numId w:val="1"/>
        </w:numPr>
        <w:rPr>
          <w:sz w:val="24"/>
          <w:szCs w:val="24"/>
        </w:rPr>
      </w:pPr>
      <w:r>
        <w:rPr>
          <w:sz w:val="24"/>
          <w:szCs w:val="24"/>
        </w:rPr>
        <w:t>There is, as previously noted, a slight difference between the two terms used for “little children.”</w:t>
      </w:r>
    </w:p>
    <w:p w14:paraId="41186987" w14:textId="4BF6A159" w:rsidR="004809EF" w:rsidRDefault="004809EF" w:rsidP="004809EF">
      <w:pPr>
        <w:pStyle w:val="ListParagraph"/>
        <w:numPr>
          <w:ilvl w:val="2"/>
          <w:numId w:val="1"/>
        </w:numPr>
        <w:rPr>
          <w:sz w:val="24"/>
          <w:szCs w:val="24"/>
        </w:rPr>
      </w:pPr>
      <w:r w:rsidRPr="0020505D">
        <w:rPr>
          <w:sz w:val="24"/>
          <w:szCs w:val="24"/>
        </w:rPr>
        <w:t xml:space="preserve">the Greek word is </w:t>
      </w:r>
      <w:r w:rsidRPr="00FA1C6C">
        <w:rPr>
          <w:bCs/>
          <w:sz w:val="24"/>
          <w:szCs w:val="24"/>
          <w:u w:val="single"/>
          <w:lang w:val="el-GR"/>
        </w:rPr>
        <w:t>τέκν</w:t>
      </w:r>
      <w:r w:rsidRPr="00FA1C6C">
        <w:rPr>
          <w:rFonts w:ascii="Calibri" w:hAnsi="Calibri" w:cs="Calibri"/>
          <w:bCs/>
          <w:sz w:val="24"/>
          <w:szCs w:val="24"/>
          <w:u w:val="single"/>
          <w:lang w:val="el-GR"/>
        </w:rPr>
        <w:t>ια</w:t>
      </w:r>
      <w:r w:rsidRPr="0020505D">
        <w:rPr>
          <w:b/>
          <w:sz w:val="24"/>
          <w:szCs w:val="24"/>
        </w:rPr>
        <w:t xml:space="preserve"> </w:t>
      </w:r>
      <w:r w:rsidRPr="0020505D">
        <w:rPr>
          <w:rFonts w:cstheme="minorHAnsi"/>
          <w:bCs/>
          <w:sz w:val="24"/>
          <w:szCs w:val="24"/>
        </w:rPr>
        <w:t xml:space="preserve"> literally means “little born ones.”</w:t>
      </w:r>
      <w:r w:rsidR="005C619F">
        <w:rPr>
          <w:rFonts w:cstheme="minorHAnsi"/>
          <w:bCs/>
          <w:sz w:val="24"/>
          <w:szCs w:val="24"/>
        </w:rPr>
        <w:t xml:space="preserve"> Implying kinship.</w:t>
      </w:r>
    </w:p>
    <w:p w14:paraId="4613A83F" w14:textId="20D03A94" w:rsidR="004809EF" w:rsidRDefault="005C619F" w:rsidP="005C619F">
      <w:pPr>
        <w:pStyle w:val="ListParagraph"/>
        <w:numPr>
          <w:ilvl w:val="2"/>
          <w:numId w:val="1"/>
        </w:numPr>
        <w:rPr>
          <w:sz w:val="24"/>
          <w:szCs w:val="24"/>
        </w:rPr>
      </w:pPr>
      <w:r w:rsidRPr="00FA1C6C">
        <w:rPr>
          <w:rFonts w:ascii="Calibri" w:hAnsi="Calibri" w:cs="Calibri"/>
          <w:sz w:val="24"/>
          <w:szCs w:val="24"/>
          <w:u w:val="single"/>
          <w:lang w:val="el-GR"/>
        </w:rPr>
        <w:t>παιδια</w:t>
      </w:r>
      <w:r w:rsidRPr="0020505D">
        <w:rPr>
          <w:rFonts w:ascii="Calibri" w:hAnsi="Calibri" w:cs="Calibri"/>
          <w:sz w:val="24"/>
          <w:szCs w:val="24"/>
        </w:rPr>
        <w:t xml:space="preserve">  refers to a young, immature child</w:t>
      </w:r>
      <w:r>
        <w:rPr>
          <w:rFonts w:ascii="Calibri" w:hAnsi="Calibri" w:cs="Calibri"/>
          <w:sz w:val="24"/>
          <w:szCs w:val="24"/>
        </w:rPr>
        <w:t xml:space="preserve">, implying one </w:t>
      </w:r>
      <w:r w:rsidR="00753A01">
        <w:rPr>
          <w:rFonts w:ascii="Calibri" w:hAnsi="Calibri" w:cs="Calibri"/>
          <w:sz w:val="24"/>
          <w:szCs w:val="24"/>
        </w:rPr>
        <w:t>a student/teacher relationship.</w:t>
      </w:r>
    </w:p>
    <w:p w14:paraId="354B25DB" w14:textId="2BF3A745" w:rsidR="00022816" w:rsidRDefault="006E5BCA" w:rsidP="00022816">
      <w:pPr>
        <w:pStyle w:val="ListParagraph"/>
        <w:numPr>
          <w:ilvl w:val="1"/>
          <w:numId w:val="1"/>
        </w:numPr>
        <w:rPr>
          <w:sz w:val="24"/>
          <w:szCs w:val="24"/>
        </w:rPr>
      </w:pPr>
      <w:r>
        <w:rPr>
          <w:sz w:val="24"/>
          <w:szCs w:val="24"/>
        </w:rPr>
        <w:t xml:space="preserve">It is </w:t>
      </w:r>
      <w:r w:rsidR="00CF08FC">
        <w:rPr>
          <w:sz w:val="24"/>
          <w:szCs w:val="24"/>
        </w:rPr>
        <w:t>probable</w:t>
      </w:r>
      <w:r>
        <w:rPr>
          <w:sz w:val="24"/>
          <w:szCs w:val="24"/>
        </w:rPr>
        <w:t xml:space="preserve"> that John </w:t>
      </w:r>
      <w:r w:rsidR="00CF08FC">
        <w:rPr>
          <w:sz w:val="24"/>
          <w:szCs w:val="24"/>
        </w:rPr>
        <w:t xml:space="preserve">used both as terms of endearment and variety to provide interest and intimacy to those who would receive the letter. </w:t>
      </w:r>
    </w:p>
    <w:p w14:paraId="3D64C0EF" w14:textId="1696561B" w:rsidR="009229C9" w:rsidRDefault="009229C9" w:rsidP="009229C9">
      <w:pPr>
        <w:pStyle w:val="ListParagraph"/>
        <w:numPr>
          <w:ilvl w:val="0"/>
          <w:numId w:val="1"/>
        </w:numPr>
        <w:rPr>
          <w:sz w:val="24"/>
          <w:szCs w:val="24"/>
        </w:rPr>
      </w:pPr>
      <w:r>
        <w:rPr>
          <w:sz w:val="24"/>
          <w:szCs w:val="24"/>
        </w:rPr>
        <w:t>What is the meaning and understanding of the word translated “because” in the statement form “I write unto you … because…</w:t>
      </w:r>
      <w:r w:rsidR="004F3B00">
        <w:rPr>
          <w:sz w:val="24"/>
          <w:szCs w:val="24"/>
        </w:rPr>
        <w:t>.“?</w:t>
      </w:r>
    </w:p>
    <w:p w14:paraId="207206F4" w14:textId="7C72FD00" w:rsidR="004F3B00" w:rsidRPr="00D57421" w:rsidRDefault="00A41437" w:rsidP="004F3B00">
      <w:pPr>
        <w:pStyle w:val="ListParagraph"/>
        <w:numPr>
          <w:ilvl w:val="1"/>
          <w:numId w:val="1"/>
        </w:numPr>
        <w:rPr>
          <w:sz w:val="24"/>
          <w:szCs w:val="24"/>
        </w:rPr>
      </w:pPr>
      <w:r>
        <w:rPr>
          <w:sz w:val="24"/>
          <w:szCs w:val="24"/>
        </w:rPr>
        <w:t>It is translated from the Greek word “</w:t>
      </w:r>
      <w:r>
        <w:rPr>
          <w:rFonts w:ascii="#Logos 8 Resource" w:hAnsi="#Logos 8 Resource"/>
          <w:lang w:val="el-GR"/>
        </w:rPr>
        <w:t>ὅτι</w:t>
      </w:r>
      <w:r w:rsidR="00D57421">
        <w:rPr>
          <w:rFonts w:ascii="#Logos 8 Resource" w:hAnsi="#Logos 8 Resource"/>
        </w:rPr>
        <w:t>,</w:t>
      </w:r>
      <w:r>
        <w:rPr>
          <w:rFonts w:ascii="#Logos 8 Resource" w:hAnsi="#Logos 8 Resource"/>
        </w:rPr>
        <w:t>”</w:t>
      </w:r>
      <w:r w:rsidR="00D57421">
        <w:rPr>
          <w:rFonts w:ascii="#Logos 8 Resource" w:hAnsi="#Logos 8 Resource"/>
        </w:rPr>
        <w:t xml:space="preserve"> a conjunction used to introduce an objective clause.</w:t>
      </w:r>
    </w:p>
    <w:p w14:paraId="6260D26C" w14:textId="4248B6AA" w:rsidR="00D57421" w:rsidRPr="00D57421" w:rsidRDefault="00D57421" w:rsidP="00D57421">
      <w:pPr>
        <w:pStyle w:val="ListParagraph"/>
        <w:numPr>
          <w:ilvl w:val="2"/>
          <w:numId w:val="1"/>
        </w:numPr>
        <w:rPr>
          <w:sz w:val="24"/>
          <w:szCs w:val="24"/>
        </w:rPr>
      </w:pPr>
      <w:r>
        <w:rPr>
          <w:rFonts w:ascii="#Logos 8 Resource" w:hAnsi="#Logos 8 Resource"/>
        </w:rPr>
        <w:t>It can be translated “because,” indicating a causal relationship. (because they were John’s spiritual family – his converts</w:t>
      </w:r>
      <w:r w:rsidR="00B33E34">
        <w:rPr>
          <w:rFonts w:ascii="#Logos 8 Resource" w:hAnsi="#Logos 8 Resource"/>
        </w:rPr>
        <w:t>, they should listen to his teaching.</w:t>
      </w:r>
      <w:r>
        <w:rPr>
          <w:rFonts w:ascii="#Logos 8 Resource" w:hAnsi="#Logos 8 Resource"/>
        </w:rPr>
        <w:t>)</w:t>
      </w:r>
    </w:p>
    <w:p w14:paraId="5F000F2F" w14:textId="087503A4" w:rsidR="00D57421" w:rsidRPr="00D57421" w:rsidRDefault="00D57421" w:rsidP="00D57421">
      <w:pPr>
        <w:pStyle w:val="ListParagraph"/>
        <w:numPr>
          <w:ilvl w:val="2"/>
          <w:numId w:val="1"/>
        </w:numPr>
        <w:rPr>
          <w:sz w:val="24"/>
          <w:szCs w:val="24"/>
        </w:rPr>
      </w:pPr>
      <w:r>
        <w:rPr>
          <w:rFonts w:ascii="#Logos 8 Resource" w:hAnsi="#Logos 8 Resource"/>
        </w:rPr>
        <w:t>It can be translated “that” which indicates a simple declaration of fact</w:t>
      </w:r>
      <w:r w:rsidR="00B33E34">
        <w:rPr>
          <w:rFonts w:ascii="#Logos 8 Resource" w:hAnsi="#Logos 8 Resource"/>
        </w:rPr>
        <w:t>, (because they were believers, they should listen.)</w:t>
      </w:r>
    </w:p>
    <w:p w14:paraId="5696422F" w14:textId="77777777" w:rsidR="00B33E34" w:rsidRPr="00B33E34" w:rsidRDefault="00D57421" w:rsidP="00B33E34">
      <w:pPr>
        <w:pStyle w:val="ListParagraph"/>
        <w:numPr>
          <w:ilvl w:val="1"/>
          <w:numId w:val="1"/>
        </w:numPr>
        <w:autoSpaceDE w:val="0"/>
        <w:autoSpaceDN w:val="0"/>
        <w:adjustRightInd w:val="0"/>
        <w:spacing w:after="0" w:line="240" w:lineRule="auto"/>
        <w:rPr>
          <w:rFonts w:ascii="Calibri" w:hAnsi="Calibri" w:cs="Calibri"/>
          <w:sz w:val="24"/>
          <w:szCs w:val="24"/>
        </w:rPr>
      </w:pPr>
      <w:r w:rsidRPr="00B33E34">
        <w:rPr>
          <w:sz w:val="24"/>
          <w:szCs w:val="24"/>
        </w:rPr>
        <w:t xml:space="preserve">John possibly intended to convey </w:t>
      </w:r>
      <w:r w:rsidR="00B33E34" w:rsidRPr="00B33E34">
        <w:rPr>
          <w:sz w:val="24"/>
          <w:szCs w:val="24"/>
        </w:rPr>
        <w:t>the</w:t>
      </w:r>
      <w:r w:rsidRPr="00B33E34">
        <w:rPr>
          <w:sz w:val="24"/>
          <w:szCs w:val="24"/>
        </w:rPr>
        <w:t xml:space="preserve"> double meaning</w:t>
      </w:r>
      <w:r w:rsidR="00B33E34" w:rsidRPr="00B33E34">
        <w:rPr>
          <w:sz w:val="24"/>
          <w:szCs w:val="24"/>
        </w:rPr>
        <w:t>,</w:t>
      </w:r>
      <w:r w:rsidRPr="00B33E34">
        <w:rPr>
          <w:sz w:val="24"/>
          <w:szCs w:val="24"/>
        </w:rPr>
        <w:t xml:space="preserve"> implying that the recipients of the letter were </w:t>
      </w:r>
      <w:r w:rsidR="00B33E34" w:rsidRPr="00B33E34">
        <w:rPr>
          <w:sz w:val="24"/>
          <w:szCs w:val="24"/>
        </w:rPr>
        <w:t>believers,</w:t>
      </w:r>
      <w:r w:rsidRPr="00B33E34">
        <w:rPr>
          <w:sz w:val="24"/>
          <w:szCs w:val="24"/>
        </w:rPr>
        <w:t xml:space="preserve"> and that they</w:t>
      </w:r>
      <w:r w:rsidR="00B33E34" w:rsidRPr="00B33E34">
        <w:rPr>
          <w:sz w:val="24"/>
          <w:szCs w:val="24"/>
        </w:rPr>
        <w:t xml:space="preserve"> should respond to his teaching as believers.</w:t>
      </w:r>
    </w:p>
    <w:p w14:paraId="5A47E1C0" w14:textId="77777777" w:rsidR="00030E92" w:rsidRPr="00030E92" w:rsidRDefault="00B33E34" w:rsidP="00B33E34">
      <w:pPr>
        <w:pStyle w:val="ListParagraph"/>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 concluding remark </w:t>
      </w:r>
      <w:r w:rsidR="00030E92">
        <w:rPr>
          <w:rFonts w:ascii="Calibri" w:hAnsi="Calibri" w:cs="Calibri"/>
          <w:sz w:val="24"/>
          <w:szCs w:val="24"/>
        </w:rPr>
        <w:t xml:space="preserve">taken </w:t>
      </w:r>
      <w:r>
        <w:rPr>
          <w:rFonts w:ascii="Calibri" w:hAnsi="Calibri" w:cs="Calibri"/>
          <w:sz w:val="24"/>
          <w:szCs w:val="24"/>
        </w:rPr>
        <w:t xml:space="preserve">from </w:t>
      </w:r>
      <w:r w:rsidR="00030E92">
        <w:rPr>
          <w:rFonts w:ascii="Calibri" w:hAnsi="Calibri" w:cs="Calibri"/>
          <w:sz w:val="24"/>
          <w:szCs w:val="24"/>
        </w:rPr>
        <w:t xml:space="preserve"> </w:t>
      </w:r>
      <w:hyperlink r:id="rId7" w:history="1">
        <w:r w:rsidR="00030E92">
          <w:rPr>
            <w:color w:val="0000FF"/>
            <w:u w:val="single"/>
          </w:rPr>
          <w:t>Commentary on the Books of 1, 2, 3 John</w:t>
        </w:r>
      </w:hyperlink>
      <w:r w:rsidR="00030E92">
        <w:rPr>
          <w:color w:val="0000FF"/>
          <w:u w:val="single"/>
        </w:rPr>
        <w:t>:</w:t>
      </w:r>
    </w:p>
    <w:p w14:paraId="67C7FF02" w14:textId="3B2F8FCF" w:rsidR="001B65D6" w:rsidRPr="00B33E34" w:rsidRDefault="00030E92" w:rsidP="00030E92">
      <w:pPr>
        <w:pStyle w:val="ListParagraph"/>
        <w:numPr>
          <w:ilvl w:val="1"/>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w:t>
      </w:r>
      <w:r w:rsidR="001B65D6" w:rsidRPr="00B33E34">
        <w:rPr>
          <w:rFonts w:ascii="Calibri" w:hAnsi="Calibri" w:cs="Calibri"/>
          <w:sz w:val="24"/>
          <w:szCs w:val="24"/>
        </w:rPr>
        <w:t>As noted previously, vv. 12–14 are difficult and filled with ideas that are closely interwoven. For this reason, they present the interpreter with several interesting questions. The basic meaning of the paragraph, however, is clear. John’s goal is to remind his followers of the spiritual victory that they have already attained. In these three verses he makes such statements as “your sins are forgiven,” “ye have known him that is from the beginning,” and “ye art strong, and the word of God abideth in you.” These are words of assurance. These believers have no reason to doubt the genuineness of their relationship with God; they should not allow themselves to be carried away by any false teaching.</w:t>
      </w:r>
      <w:r>
        <w:rPr>
          <w:rFonts w:ascii="Calibri" w:hAnsi="Calibri" w:cs="Calibri"/>
          <w:sz w:val="24"/>
          <w:szCs w:val="24"/>
        </w:rPr>
        <w:t>”</w:t>
      </w:r>
      <w:r w:rsidR="001B65D6" w:rsidRPr="001B65D6">
        <w:rPr>
          <w:rFonts w:ascii="Calibri" w:hAnsi="Calibri" w:cs="Calibri"/>
          <w:sz w:val="24"/>
          <w:szCs w:val="24"/>
          <w:vertAlign w:val="superscript"/>
        </w:rPr>
        <w:footnoteReference w:id="2"/>
      </w:r>
    </w:p>
    <w:p w14:paraId="390A63E0" w14:textId="77777777" w:rsidR="002F1BC9" w:rsidRPr="0020505D" w:rsidRDefault="002F1BC9" w:rsidP="002F1BC9">
      <w:pPr>
        <w:rPr>
          <w:sz w:val="24"/>
          <w:szCs w:val="24"/>
        </w:rPr>
      </w:pPr>
    </w:p>
    <w:sectPr w:rsidR="002F1BC9" w:rsidRPr="0020505D" w:rsidSect="0044115F">
      <w:headerReference w:type="default" r:id="rId8"/>
      <w:pgSz w:w="12240" w:h="15840"/>
      <w:pgMar w:top="1152" w:right="720"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18C1B" w14:textId="77777777" w:rsidR="00272CCB" w:rsidRDefault="00272CCB" w:rsidP="0035362B">
      <w:pPr>
        <w:spacing w:after="0" w:line="240" w:lineRule="auto"/>
      </w:pPr>
      <w:r>
        <w:separator/>
      </w:r>
    </w:p>
  </w:endnote>
  <w:endnote w:type="continuationSeparator" w:id="0">
    <w:p w14:paraId="41EE4344" w14:textId="77777777" w:rsidR="00272CCB" w:rsidRDefault="00272CCB" w:rsidP="0035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CSB Greek Outline">
    <w:panose1 w:val="020B0500000000000000"/>
    <w:charset w:val="00"/>
    <w:family w:val="swiss"/>
    <w:pitch w:val="variable"/>
    <w:sig w:usb0="00000003" w:usb1="00000000" w:usb2="00000000" w:usb3="00000000" w:csb0="00000001" w:csb1="00000000"/>
  </w:font>
  <w:font w:name="PCSB Greek">
    <w:panose1 w:val="020B0500000000000000"/>
    <w:charset w:val="00"/>
    <w:family w:val="swiss"/>
    <w:pitch w:val="variable"/>
    <w:sig w:usb0="00000003" w:usb1="00000000" w:usb2="00000000" w:usb3="00000000" w:csb0="00000001" w:csb1="00000000"/>
  </w:font>
  <w:font w:name="#Logos 8 Resource">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527AC" w14:textId="77777777" w:rsidR="00272CCB" w:rsidRDefault="00272CCB" w:rsidP="0035362B">
      <w:pPr>
        <w:spacing w:after="0" w:line="240" w:lineRule="auto"/>
      </w:pPr>
      <w:r>
        <w:separator/>
      </w:r>
    </w:p>
  </w:footnote>
  <w:footnote w:type="continuationSeparator" w:id="0">
    <w:p w14:paraId="63357E1F" w14:textId="77777777" w:rsidR="00272CCB" w:rsidRDefault="00272CCB" w:rsidP="0035362B">
      <w:pPr>
        <w:spacing w:after="0" w:line="240" w:lineRule="auto"/>
      </w:pPr>
      <w:r>
        <w:continuationSeparator/>
      </w:r>
    </w:p>
  </w:footnote>
  <w:footnote w:id="1">
    <w:p w14:paraId="71D1F5F6" w14:textId="77777777" w:rsidR="000F3145" w:rsidRDefault="000F3145" w:rsidP="000F3145">
      <w:r>
        <w:rPr>
          <w:vertAlign w:val="superscript"/>
        </w:rPr>
        <w:footnoteRef/>
      </w:r>
      <w:r>
        <w:t xml:space="preserve"> Leadership Ministries Worldwide. (1996). </w:t>
      </w:r>
      <w:hyperlink r:id="rId1" w:history="1">
        <w:r>
          <w:rPr>
            <w:i/>
            <w:color w:val="0000FF"/>
            <w:u w:val="single"/>
          </w:rPr>
          <w:t>1 Peter–Jude</w:t>
        </w:r>
      </w:hyperlink>
      <w:r>
        <w:t xml:space="preserve"> (p. 241). Chattanooga, TN: Leadership Ministries Worldwide.</w:t>
      </w:r>
    </w:p>
  </w:footnote>
  <w:footnote w:id="2">
    <w:p w14:paraId="7E8ED6D3" w14:textId="77777777" w:rsidR="001B65D6" w:rsidRDefault="001B65D6" w:rsidP="001B65D6">
      <w:r>
        <w:rPr>
          <w:vertAlign w:val="superscript"/>
        </w:rPr>
        <w:footnoteRef/>
      </w:r>
      <w:r>
        <w:t xml:space="preserve"> </w:t>
      </w:r>
      <w:proofErr w:type="spellStart"/>
      <w:r>
        <w:t>Marberry</w:t>
      </w:r>
      <w:proofErr w:type="spellEnd"/>
      <w:r>
        <w:t xml:space="preserve">, T. L., Shaw Craig. (2010). </w:t>
      </w:r>
      <w:hyperlink r:id="rId2" w:history="1">
        <w:r>
          <w:rPr>
            <w:color w:val="0000FF"/>
            <w:u w:val="single"/>
          </w:rPr>
          <w:t>Commentary on the Books of 1, 2, 3 John</w:t>
        </w:r>
      </w:hyperlink>
      <w:r>
        <w:t xml:space="preserve">. In R. E. Picirilli (Ed.), </w:t>
      </w:r>
      <w:r>
        <w:rPr>
          <w:i/>
        </w:rPr>
        <w:t>1, 2, 3 John &amp; Revelation</w:t>
      </w:r>
      <w:r>
        <w:t xml:space="preserve"> (First Edition, p. 42). Nashville, TN: Randall House.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E6F54" w14:textId="77777777" w:rsidR="004F0CD6" w:rsidRPr="00712FD8" w:rsidRDefault="004F0CD6" w:rsidP="004F0CD6">
    <w:pPr>
      <w:pStyle w:val="Header"/>
    </w:pPr>
    <w:r w:rsidRPr="00712FD8">
      <w:t xml:space="preserve">Proof We Know God – Test </w:t>
    </w:r>
    <w:r>
      <w:t>3</w:t>
    </w:r>
    <w:r w:rsidRPr="00712FD8">
      <w:t xml:space="preserve">_The Test of </w:t>
    </w:r>
    <w:r>
      <w:t>Spiritual Growth</w:t>
    </w:r>
    <w:r w:rsidRPr="00712FD8">
      <w:tab/>
      <w:t xml:space="preserve">Page </w:t>
    </w:r>
    <w:r w:rsidRPr="00712FD8">
      <w:fldChar w:fldCharType="begin"/>
    </w:r>
    <w:r w:rsidRPr="00712FD8">
      <w:instrText xml:space="preserve"> PAGE  \* Arabic  \* MERGEFORMAT </w:instrText>
    </w:r>
    <w:r w:rsidRPr="00712FD8">
      <w:fldChar w:fldCharType="separate"/>
    </w:r>
    <w:r>
      <w:t>1</w:t>
    </w:r>
    <w:r w:rsidRPr="00712FD8">
      <w:fldChar w:fldCharType="end"/>
    </w:r>
    <w:r w:rsidRPr="00712FD8">
      <w:t xml:space="preserve"> of </w:t>
    </w:r>
    <w:r w:rsidR="00272CCB">
      <w:fldChar w:fldCharType="begin"/>
    </w:r>
    <w:r w:rsidR="00272CCB">
      <w:instrText xml:space="preserve"> NUMPAGES  \* Arabic  \* MERGEFORMAT </w:instrText>
    </w:r>
    <w:r w:rsidR="00272CCB">
      <w:fldChar w:fldCharType="separate"/>
    </w:r>
    <w:r>
      <w:t>1</w:t>
    </w:r>
    <w:r w:rsidR="00272CCB">
      <w:fldChar w:fldCharType="end"/>
    </w:r>
  </w:p>
  <w:p w14:paraId="6E21B8DD" w14:textId="77777777" w:rsidR="004F0CD6" w:rsidRPr="00712FD8" w:rsidRDefault="004F0CD6" w:rsidP="004F0CD6">
    <w:pPr>
      <w:pStyle w:val="Header"/>
    </w:pPr>
    <w:r w:rsidRPr="00712FD8">
      <w:t>1 John 2:</w:t>
    </w:r>
    <w:r>
      <w:t>12-14</w:t>
    </w:r>
    <w:r w:rsidRPr="00712FD8">
      <w:tab/>
      <w:t>Outline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893821"/>
    <w:multiLevelType w:val="multilevel"/>
    <w:tmpl w:val="D6447C1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224"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CD6"/>
    <w:rsid w:val="00022816"/>
    <w:rsid w:val="00030E92"/>
    <w:rsid w:val="00090294"/>
    <w:rsid w:val="000B5942"/>
    <w:rsid w:val="000D1A82"/>
    <w:rsid w:val="000D43FF"/>
    <w:rsid w:val="000F3145"/>
    <w:rsid w:val="001B65D6"/>
    <w:rsid w:val="001C4674"/>
    <w:rsid w:val="001C673A"/>
    <w:rsid w:val="001D6731"/>
    <w:rsid w:val="001E032C"/>
    <w:rsid w:val="0020505D"/>
    <w:rsid w:val="00272CCB"/>
    <w:rsid w:val="00296BA9"/>
    <w:rsid w:val="002A68F1"/>
    <w:rsid w:val="002B72B0"/>
    <w:rsid w:val="002D2DA2"/>
    <w:rsid w:val="002F1BC9"/>
    <w:rsid w:val="0035362B"/>
    <w:rsid w:val="003637F3"/>
    <w:rsid w:val="0037685A"/>
    <w:rsid w:val="00412F8A"/>
    <w:rsid w:val="0044115F"/>
    <w:rsid w:val="00442F29"/>
    <w:rsid w:val="004809EF"/>
    <w:rsid w:val="004F0CD6"/>
    <w:rsid w:val="004F3B00"/>
    <w:rsid w:val="00501E3E"/>
    <w:rsid w:val="00550804"/>
    <w:rsid w:val="00594CE6"/>
    <w:rsid w:val="005A5A3E"/>
    <w:rsid w:val="005C619F"/>
    <w:rsid w:val="00625439"/>
    <w:rsid w:val="0064359D"/>
    <w:rsid w:val="00676E2D"/>
    <w:rsid w:val="00686AD3"/>
    <w:rsid w:val="006E02EC"/>
    <w:rsid w:val="006E5BCA"/>
    <w:rsid w:val="00730DF3"/>
    <w:rsid w:val="00730E59"/>
    <w:rsid w:val="00750356"/>
    <w:rsid w:val="00753A01"/>
    <w:rsid w:val="007E118F"/>
    <w:rsid w:val="00866999"/>
    <w:rsid w:val="009229C9"/>
    <w:rsid w:val="00950DBC"/>
    <w:rsid w:val="00A258E9"/>
    <w:rsid w:val="00A41437"/>
    <w:rsid w:val="00A774F3"/>
    <w:rsid w:val="00AC3CDE"/>
    <w:rsid w:val="00B25F91"/>
    <w:rsid w:val="00B33E34"/>
    <w:rsid w:val="00B66BF3"/>
    <w:rsid w:val="00C53844"/>
    <w:rsid w:val="00CE654A"/>
    <w:rsid w:val="00CF08FC"/>
    <w:rsid w:val="00D31721"/>
    <w:rsid w:val="00D57421"/>
    <w:rsid w:val="00DC26D1"/>
    <w:rsid w:val="00E563A6"/>
    <w:rsid w:val="00E572DA"/>
    <w:rsid w:val="00E65E0D"/>
    <w:rsid w:val="00E97C46"/>
    <w:rsid w:val="00EE059D"/>
    <w:rsid w:val="00F0550D"/>
    <w:rsid w:val="00FA1C6C"/>
    <w:rsid w:val="00FB043B"/>
    <w:rsid w:val="00FF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935E5"/>
  <w15:chartTrackingRefBased/>
  <w15:docId w15:val="{AA1E06E7-9D61-47C3-9CAE-C6A455D9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54A"/>
    <w:pPr>
      <w:ind w:left="720"/>
      <w:contextualSpacing/>
    </w:pPr>
  </w:style>
  <w:style w:type="paragraph" w:styleId="Header">
    <w:name w:val="header"/>
    <w:basedOn w:val="Normal"/>
    <w:link w:val="HeaderChar"/>
    <w:uiPriority w:val="99"/>
    <w:unhideWhenUsed/>
    <w:rsid w:val="00353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62B"/>
  </w:style>
  <w:style w:type="paragraph" w:styleId="Footer">
    <w:name w:val="footer"/>
    <w:basedOn w:val="Normal"/>
    <w:link w:val="FooterChar"/>
    <w:uiPriority w:val="99"/>
    <w:unhideWhenUsed/>
    <w:rsid w:val="00353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62B"/>
  </w:style>
  <w:style w:type="paragraph" w:styleId="NormalWeb">
    <w:name w:val="Normal (Web)"/>
    <w:basedOn w:val="Normal"/>
    <w:uiPriority w:val="99"/>
    <w:semiHidden/>
    <w:unhideWhenUsed/>
    <w:rsid w:val="00EE05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05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27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f.ly/logosres/rhbc83jn?ref=Bible.1Jn2.12-14&amp;off=7182&amp;ctx=tation+of+the+text.%0a~The+fifth+exegetic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rhbc83jn?ref=Bible.1Jn2.12-14&amp;off=7182&amp;ctx=tation+of+the+text.%0a~The+fifth+exegetical" TargetMode="External"/><Relationship Id="rId1" Type="http://schemas.openxmlformats.org/officeDocument/2006/relationships/hyperlink" Target="https://ref.ly/logosres/posbkjv81pe1?ref=Bible.1Jn2.12-14&amp;off=2055&amp;ctx=en+to+you%E2%80%9D+(v.+14)%3f+~For+emphasis%3a+John+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ot\Documents\Custom%20Office%20Templates\Revised%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Revised Sermon Template.dotx</Template>
  <TotalTime>582</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Scott</dc:creator>
  <cp:keywords/>
  <dc:description/>
  <cp:lastModifiedBy>Bob Scott</cp:lastModifiedBy>
  <cp:revision>4</cp:revision>
  <cp:lastPrinted>2021-03-17T12:45:00Z</cp:lastPrinted>
  <dcterms:created xsi:type="dcterms:W3CDTF">2021-03-11T03:58:00Z</dcterms:created>
  <dcterms:modified xsi:type="dcterms:W3CDTF">2021-03-17T12:47:00Z</dcterms:modified>
</cp:coreProperties>
</file>